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7F7631" w14:textId="2FB37C42" w:rsidR="00172D6B" w:rsidRPr="007B731A" w:rsidRDefault="00172D6B" w:rsidP="00172D6B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10</w:t>
      </w:r>
      <w:r w:rsidRPr="007B731A">
        <w:rPr>
          <w:rtl/>
        </w:rPr>
        <w:t xml:space="preserve"> </w:t>
      </w:r>
      <w:r>
        <w:rPr>
          <w:rFonts w:hint="cs"/>
          <w:rtl/>
        </w:rPr>
        <w:t>شعبان</w:t>
      </w:r>
      <w:r w:rsidRPr="007B731A">
        <w:rPr>
          <w:rtl/>
        </w:rPr>
        <w:t xml:space="preserve"> 1446هـ‏</w:t>
      </w:r>
    </w:p>
    <w:p w14:paraId="24E5FB7C" w14:textId="7733A922" w:rsidR="00172D6B" w:rsidRPr="007B731A" w:rsidRDefault="00172D6B" w:rsidP="00172D6B">
      <w:pPr>
        <w:jc w:val="center"/>
        <w:rPr>
          <w:rtl/>
        </w:rPr>
      </w:pPr>
      <w:r>
        <w:rPr>
          <w:rFonts w:hint="cs"/>
          <w:rtl/>
        </w:rPr>
        <w:t>الأحد</w:t>
      </w:r>
      <w:r w:rsidRPr="007B731A">
        <w:rPr>
          <w:rtl/>
        </w:rPr>
        <w:t xml:space="preserve"> </w:t>
      </w:r>
      <w:r>
        <w:rPr>
          <w:rFonts w:hint="cs"/>
          <w:rtl/>
        </w:rPr>
        <w:t>9</w:t>
      </w:r>
      <w:r w:rsidRPr="007B731A">
        <w:rPr>
          <w:rtl/>
        </w:rPr>
        <w:t xml:space="preserve"> </w:t>
      </w:r>
      <w:r>
        <w:rPr>
          <w:rFonts w:hint="cs"/>
          <w:rtl/>
        </w:rPr>
        <w:t>شباط</w:t>
      </w:r>
      <w:r w:rsidRPr="007B731A">
        <w:rPr>
          <w:rtl/>
        </w:rPr>
        <w:t xml:space="preserve"> 2024‏ م</w:t>
      </w:r>
    </w:p>
    <w:p w14:paraId="25ED9B0A" w14:textId="63366F21" w:rsidR="00172D6B" w:rsidRPr="007B731A" w:rsidRDefault="00333143" w:rsidP="00172D6B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bookmarkStart w:id="0" w:name="_GoBack"/>
      <w:bookmarkEnd w:id="0"/>
      <w:r w:rsidR="00172D6B" w:rsidRPr="007B731A">
        <w:rPr>
          <w:rtl/>
        </w:rPr>
        <w:t xml:space="preserve">لباس المصلي: </w:t>
      </w:r>
      <w:r w:rsidR="009151F7">
        <w:rPr>
          <w:rFonts w:hint="cs"/>
          <w:rtl/>
        </w:rPr>
        <w:t>ال</w:t>
      </w:r>
      <w:r w:rsidR="00172D6B" w:rsidRPr="007B731A">
        <w:rPr>
          <w:rtl/>
        </w:rPr>
        <w:t>صلاة</w:t>
      </w:r>
      <w:r w:rsidR="00172D6B" w:rsidRPr="007B731A">
        <w:t xml:space="preserve"> </w:t>
      </w:r>
      <w:r w:rsidR="00172D6B">
        <w:rPr>
          <w:rFonts w:hint="cs"/>
          <w:rtl/>
        </w:rPr>
        <w:t>في الحذاء</w:t>
      </w:r>
      <w:r w:rsidR="00584BB6">
        <w:rPr>
          <w:rFonts w:hint="cs"/>
          <w:rtl/>
        </w:rPr>
        <w:t xml:space="preserve"> ونحوه</w:t>
      </w:r>
    </w:p>
    <w:p w14:paraId="162D3D6B" w14:textId="77777777" w:rsidR="00172D6B" w:rsidRDefault="00172D6B" w:rsidP="00172D6B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6FF320DA" w14:textId="5C01B634" w:rsidR="00172D6B" w:rsidRDefault="009151F7" w:rsidP="00172D6B">
      <w:pPr>
        <w:rPr>
          <w:rtl/>
        </w:rPr>
      </w:pPr>
      <w:r>
        <w:rPr>
          <w:rFonts w:hint="cs"/>
          <w:rtl/>
        </w:rPr>
        <w:t>لا يزال الكلام في الصلاة في الشيء الذي يستر ظهر القدم ولا يغطي الساق.</w:t>
      </w:r>
    </w:p>
    <w:p w14:paraId="4C5A55BE" w14:textId="3477CA0E" w:rsidR="009151F7" w:rsidRDefault="008B74A4" w:rsidP="00172D6B">
      <w:pPr>
        <w:rPr>
          <w:rtl/>
        </w:rPr>
      </w:pPr>
      <w:r>
        <w:rPr>
          <w:rFonts w:hint="cs"/>
          <w:rtl/>
        </w:rPr>
        <w:t>ذكرنا أن الروايات التي استدل بها الفقهاء على المنع أو الكراهة أنها ضعيفة ولا يصح الاعتماد عليها، وهكذا فعل حكيم الفقهاء (رض).</w:t>
      </w:r>
    </w:p>
    <w:p w14:paraId="7EC2A4E3" w14:textId="2EF0591E" w:rsidR="008B74A4" w:rsidRDefault="008B74A4" w:rsidP="00172D6B">
      <w:pPr>
        <w:rPr>
          <w:rtl/>
        </w:rPr>
      </w:pPr>
      <w:r>
        <w:rPr>
          <w:rFonts w:hint="cs"/>
          <w:rtl/>
        </w:rPr>
        <w:t>يبقى الكلام في الأدلة الأخرى</w:t>
      </w:r>
      <w:r w:rsidR="00584BB6">
        <w:rPr>
          <w:rFonts w:hint="cs"/>
          <w:rtl/>
        </w:rPr>
        <w:t>، ومنها الاستدلال بحديث سيف بن عميرة</w:t>
      </w:r>
    </w:p>
    <w:p w14:paraId="77100795" w14:textId="77777777" w:rsidR="00E75D0F" w:rsidRDefault="00584BB6" w:rsidP="00E75D0F">
      <w:pPr>
        <w:rPr>
          <w:rFonts w:cs="Arial"/>
          <w:rtl/>
        </w:rPr>
      </w:pPr>
      <w:r>
        <w:rPr>
          <w:rFonts w:hint="cs"/>
          <w:rtl/>
        </w:rPr>
        <w:t xml:space="preserve">وهي </w:t>
      </w:r>
      <w:r w:rsidRPr="009234ED">
        <w:rPr>
          <w:rFonts w:cs="Arial"/>
          <w:rtl/>
        </w:rPr>
        <w:t xml:space="preserve">الرواية الأولى </w:t>
      </w:r>
      <w:r>
        <w:rPr>
          <w:rFonts w:cs="Arial" w:hint="cs"/>
          <w:rtl/>
        </w:rPr>
        <w:t>من ال</w:t>
      </w:r>
      <w:r w:rsidRPr="009234ED">
        <w:rPr>
          <w:rFonts w:cs="Arial"/>
          <w:rtl/>
        </w:rPr>
        <w:t xml:space="preserve">باب </w:t>
      </w:r>
      <w:r>
        <w:rPr>
          <w:rFonts w:cs="Arial" w:hint="cs"/>
          <w:rtl/>
        </w:rPr>
        <w:t>السادس والعشرين</w:t>
      </w:r>
      <w:r w:rsidRPr="009234ED">
        <w:rPr>
          <w:rFonts w:cs="Arial"/>
          <w:rtl/>
        </w:rPr>
        <w:t xml:space="preserve"> من أبواب كتاب باب الطهارة</w:t>
      </w:r>
      <w:r w:rsidR="00E75D0F">
        <w:rPr>
          <w:rFonts w:cs="Arial" w:hint="cs"/>
          <w:rtl/>
        </w:rPr>
        <w:t>:</w:t>
      </w:r>
    </w:p>
    <w:p w14:paraId="7C8D54F9" w14:textId="15540A0A" w:rsidR="00584BB6" w:rsidRDefault="00E75D0F" w:rsidP="00E75D0F">
      <w:pPr>
        <w:rPr>
          <w:rFonts w:cs="Arial"/>
          <w:rtl/>
        </w:rPr>
      </w:pPr>
      <w:r>
        <w:rPr>
          <w:rFonts w:cs="Arial" w:hint="cs"/>
          <w:rtl/>
        </w:rPr>
        <w:t>روى</w:t>
      </w:r>
      <w:r w:rsidR="00584BB6" w:rsidRPr="009234ED">
        <w:rPr>
          <w:rFonts w:cs="Arial"/>
          <w:rtl/>
        </w:rPr>
        <w:t xml:space="preserve"> </w:t>
      </w:r>
      <w:r w:rsidRPr="00E75D0F">
        <w:rPr>
          <w:rFonts w:cs="Arial"/>
          <w:rtl/>
        </w:rPr>
        <w:t>محمد بن يعقوب، عن عدة من أصحابنا، عن سهل بن زياد،</w:t>
      </w:r>
      <w:r>
        <w:rPr>
          <w:rFonts w:cs="Arial" w:hint="cs"/>
          <w:rtl/>
        </w:rPr>
        <w:t xml:space="preserve"> </w:t>
      </w:r>
      <w:r w:rsidRPr="00E75D0F">
        <w:rPr>
          <w:rFonts w:cs="Arial"/>
          <w:rtl/>
        </w:rPr>
        <w:t>عن إسماعيل بن مهران، عن سيف بن عميرة،</w:t>
      </w:r>
      <w:r w:rsidR="00584BB6">
        <w:rPr>
          <w:rFonts w:cs="Arial" w:hint="cs"/>
          <w:rtl/>
        </w:rPr>
        <w:t xml:space="preserve"> </w:t>
      </w:r>
      <w:r w:rsidR="00584BB6" w:rsidRPr="00DB02DF">
        <w:rPr>
          <w:rFonts w:cs="Arial"/>
          <w:b/>
          <w:bCs/>
          <w:rtl/>
        </w:rPr>
        <w:t xml:space="preserve">عن </w:t>
      </w:r>
      <w:r w:rsidR="00584BB6" w:rsidRPr="00DB02DF">
        <w:rPr>
          <w:rFonts w:cs="Arial" w:hint="cs"/>
          <w:b/>
          <w:bCs/>
          <w:rtl/>
        </w:rPr>
        <w:t>أ</w:t>
      </w:r>
      <w:r w:rsidR="00584BB6" w:rsidRPr="00DB02DF">
        <w:rPr>
          <w:rFonts w:cs="Arial"/>
          <w:b/>
          <w:bCs/>
          <w:rtl/>
        </w:rPr>
        <w:t xml:space="preserve">بي </w:t>
      </w:r>
      <w:r w:rsidR="00584BB6" w:rsidRPr="00DB02DF">
        <w:rPr>
          <w:rFonts w:cs="Arial" w:hint="cs"/>
          <w:b/>
          <w:bCs/>
          <w:rtl/>
        </w:rPr>
        <w:t>عبد الل</w:t>
      </w:r>
      <w:r w:rsidR="00584BB6" w:rsidRPr="00DB02DF">
        <w:rPr>
          <w:rFonts w:cs="Arial" w:hint="eastAsia"/>
          <w:b/>
          <w:bCs/>
          <w:rtl/>
        </w:rPr>
        <w:t>ه</w:t>
      </w:r>
      <w:r w:rsidR="00584BB6" w:rsidRPr="00DB02DF">
        <w:rPr>
          <w:rFonts w:cs="Arial"/>
          <w:b/>
          <w:bCs/>
          <w:rtl/>
        </w:rPr>
        <w:t xml:space="preserve"> (ع) قال</w:t>
      </w:r>
      <w:r w:rsidR="00584BB6" w:rsidRPr="00DB02DF">
        <w:rPr>
          <w:rFonts w:cs="Arial" w:hint="cs"/>
          <w:b/>
          <w:bCs/>
          <w:rtl/>
        </w:rPr>
        <w:t>:</w:t>
      </w:r>
      <w:r w:rsidR="00584BB6" w:rsidRPr="00DB02DF">
        <w:rPr>
          <w:rFonts w:cs="Arial"/>
          <w:b/>
          <w:bCs/>
          <w:rtl/>
        </w:rPr>
        <w:t xml:space="preserve"> لا يصلي على جنا</w:t>
      </w:r>
      <w:r w:rsidR="00584BB6">
        <w:rPr>
          <w:rFonts w:cs="Arial" w:hint="cs"/>
          <w:b/>
          <w:bCs/>
          <w:rtl/>
        </w:rPr>
        <w:t>ز</w:t>
      </w:r>
      <w:r w:rsidR="00584BB6" w:rsidRPr="00DB02DF">
        <w:rPr>
          <w:rFonts w:cs="Arial"/>
          <w:b/>
          <w:bCs/>
          <w:rtl/>
        </w:rPr>
        <w:t>ة بحذاء ولا بأس بالخُف</w:t>
      </w:r>
      <w:r w:rsidR="00584BB6">
        <w:rPr>
          <w:rFonts w:cs="Arial" w:hint="cs"/>
          <w:rtl/>
        </w:rPr>
        <w:t>.</w:t>
      </w:r>
    </w:p>
    <w:p w14:paraId="2F25B2F1" w14:textId="315A2F41" w:rsidR="00E56B3A" w:rsidRDefault="00E56B3A" w:rsidP="00E75D0F">
      <w:pPr>
        <w:rPr>
          <w:rFonts w:cs="Arial"/>
          <w:rtl/>
        </w:rPr>
      </w:pPr>
      <w:r>
        <w:rPr>
          <w:rFonts w:cs="Arial" w:hint="cs"/>
          <w:rtl/>
        </w:rPr>
        <w:t>ذكرنا أن السند كله تام من جهة رجاله إلا سهل بن زياد، وخادمكم كسيدنا الأعظم لا نعتقد بوثاقة هذا الراوية.</w:t>
      </w:r>
    </w:p>
    <w:p w14:paraId="33306AF3" w14:textId="0C8DF45D" w:rsidR="00E56B3A" w:rsidRDefault="005103D8" w:rsidP="00E75D0F">
      <w:pPr>
        <w:rPr>
          <w:rFonts w:cs="Arial"/>
          <w:rtl/>
        </w:rPr>
      </w:pPr>
      <w:r>
        <w:rPr>
          <w:rFonts w:cs="Arial" w:hint="cs"/>
          <w:rtl/>
        </w:rPr>
        <w:t xml:space="preserve">علق سيدنا الأعظم (رض) على هذه الرواية بأن الحذاء المسؤول عنه غير ثابت الانطباق على المقام من كون ساتراً لظهر القدم </w:t>
      </w:r>
      <w:r w:rsidR="00D113E2">
        <w:rPr>
          <w:rFonts w:cs="Arial" w:hint="cs"/>
          <w:rtl/>
        </w:rPr>
        <w:t>دون الساق.</w:t>
      </w:r>
    </w:p>
    <w:p w14:paraId="6AE5BD32" w14:textId="77777777" w:rsidR="00D113E2" w:rsidRDefault="00D113E2" w:rsidP="00E75D0F">
      <w:pPr>
        <w:rPr>
          <w:rFonts w:cs="Arial"/>
          <w:rtl/>
        </w:rPr>
      </w:pPr>
      <w:r>
        <w:rPr>
          <w:rFonts w:cs="Arial" w:hint="cs"/>
          <w:rtl/>
        </w:rPr>
        <w:t>وفيه: أولاً أي سؤال عن الحذاء في الرواية حتى يقول سيدنا الأعظم بأن الحذاء مسؤول عنه؟ بل أي سؤال فيها أصلاً؟</w:t>
      </w:r>
    </w:p>
    <w:p w14:paraId="3E132F45" w14:textId="7548EFAA" w:rsidR="00ED0B5B" w:rsidRDefault="00D113E2" w:rsidP="00E75D0F">
      <w:pPr>
        <w:rPr>
          <w:rFonts w:cs="Arial"/>
          <w:rtl/>
        </w:rPr>
      </w:pPr>
      <w:r>
        <w:rPr>
          <w:rFonts w:cs="Arial" w:hint="cs"/>
          <w:rtl/>
        </w:rPr>
        <w:t xml:space="preserve">ثانياً </w:t>
      </w:r>
      <w:r w:rsidR="00ED0B5B">
        <w:rPr>
          <w:rFonts w:cs="Arial" w:hint="cs"/>
          <w:rtl/>
        </w:rPr>
        <w:t>من الغريب أن سيدنا الأعظم لم يراجع كتب اللغة وغريب الأحاديث حتى يتبين له معنى الحذاء وينظر هل هو ثابت الانطباق على ما في المقام أو لا؟</w:t>
      </w:r>
    </w:p>
    <w:p w14:paraId="67C0ABBB" w14:textId="77777777" w:rsidR="0023561F" w:rsidRDefault="00892216" w:rsidP="00E75D0F">
      <w:pPr>
        <w:rPr>
          <w:rFonts w:cs="Arial"/>
          <w:rtl/>
        </w:rPr>
      </w:pPr>
      <w:r>
        <w:rPr>
          <w:rFonts w:cs="Arial" w:hint="cs"/>
          <w:rtl/>
        </w:rPr>
        <w:t xml:space="preserve">ذكر </w:t>
      </w:r>
      <w:r w:rsidR="0023561F">
        <w:rPr>
          <w:rFonts w:cs="Arial" w:hint="cs"/>
          <w:rtl/>
        </w:rPr>
        <w:t>أصحاب اللغة أن الحذاء هو النعل، بحيث يغطي قبة القدم دون الساق.</w:t>
      </w:r>
    </w:p>
    <w:p w14:paraId="18840491" w14:textId="1BAFE3BA" w:rsidR="0023561F" w:rsidRDefault="0023561F" w:rsidP="00E75D0F">
      <w:pPr>
        <w:rPr>
          <w:rFonts w:cs="Arial"/>
          <w:rtl/>
        </w:rPr>
      </w:pPr>
      <w:r>
        <w:rPr>
          <w:rFonts w:cs="Arial" w:hint="cs"/>
          <w:rtl/>
        </w:rPr>
        <w:t>ثم بعد ذلك يورد السيد أن انطباق الحذاء على المقام غير ثابت! هذه الدعوى غير واضحة.</w:t>
      </w:r>
    </w:p>
    <w:p w14:paraId="6CAA1CC1" w14:textId="354707C9" w:rsidR="00892216" w:rsidRDefault="007E0025" w:rsidP="00E75D0F">
      <w:pPr>
        <w:rPr>
          <w:rFonts w:cs="Arial"/>
          <w:rtl/>
        </w:rPr>
      </w:pPr>
      <w:r>
        <w:rPr>
          <w:rFonts w:cs="Arial" w:hint="cs"/>
          <w:rtl/>
        </w:rPr>
        <w:t xml:space="preserve"> </w:t>
      </w:r>
      <w:r w:rsidR="002C60FC">
        <w:rPr>
          <w:rFonts w:cs="Arial" w:hint="cs"/>
          <w:rtl/>
        </w:rPr>
        <w:t>وأما الخف فالذي يظهر من هذه الرواية إن صحت أنه يستر جميع القدم بخلاف الحذاء لأن الإمام عليه السلام عبر بلا بأس به.</w:t>
      </w:r>
    </w:p>
    <w:p w14:paraId="2B609C66" w14:textId="77777777" w:rsidR="00563066" w:rsidRDefault="005C3A7D" w:rsidP="00E75D0F">
      <w:pPr>
        <w:rPr>
          <w:rFonts w:cs="Arial"/>
          <w:rtl/>
        </w:rPr>
      </w:pPr>
      <w:r>
        <w:rPr>
          <w:rFonts w:cs="Arial" w:hint="cs"/>
          <w:rtl/>
        </w:rPr>
        <w:t>ثم إن حكيم الفقهاء وسيدنا الأعظم (رض) في مقام نقل استدلال المنع ذكرا أن صلاة الجنائز أوسع من الفرائض فإذا كانت الصلاة في الأولى ممنوعة ففي الثانية أولى.</w:t>
      </w:r>
    </w:p>
    <w:p w14:paraId="546A700E" w14:textId="4D38CFF8" w:rsidR="002C60FC" w:rsidRDefault="00563066" w:rsidP="00E75D0F">
      <w:pPr>
        <w:rPr>
          <w:rFonts w:cs="Arial"/>
          <w:rtl/>
        </w:rPr>
      </w:pPr>
      <w:r>
        <w:rPr>
          <w:rFonts w:cs="Arial" w:hint="cs"/>
          <w:rtl/>
        </w:rPr>
        <w:t>وهذا الاستدلال غير واضح؛ لأن صلاة الجنازة مختلفة عن الفرائض وليست أوسع</w:t>
      </w:r>
      <w:r w:rsidR="002578DB">
        <w:rPr>
          <w:rFonts w:cs="Arial" w:hint="cs"/>
          <w:rtl/>
        </w:rPr>
        <w:t xml:space="preserve"> حتى يحتج بالأولوية</w:t>
      </w:r>
      <w:r w:rsidR="000E5132">
        <w:rPr>
          <w:rFonts w:cs="Arial" w:hint="cs"/>
          <w:rtl/>
        </w:rPr>
        <w:t xml:space="preserve"> في المقام.</w:t>
      </w:r>
    </w:p>
    <w:p w14:paraId="6B6F29AD" w14:textId="572DF226" w:rsidR="000E5132" w:rsidRDefault="0073750B" w:rsidP="00E75D0F">
      <w:pPr>
        <w:rPr>
          <w:rFonts w:cs="Arial"/>
          <w:rtl/>
        </w:rPr>
      </w:pPr>
      <w:r>
        <w:rPr>
          <w:rFonts w:cs="Arial" w:hint="cs"/>
          <w:rtl/>
        </w:rPr>
        <w:t>فالنتيجة أنه لا دليل هل الحرمة مطلقاً سواء غطى ظهر القدم أم لا.</w:t>
      </w:r>
    </w:p>
    <w:p w14:paraId="1DCE11CA" w14:textId="38CF8547" w:rsidR="0073750B" w:rsidRDefault="0073750B" w:rsidP="00E75D0F">
      <w:pPr>
        <w:rPr>
          <w:rFonts w:cs="Arial"/>
          <w:rtl/>
        </w:rPr>
      </w:pPr>
      <w:r>
        <w:rPr>
          <w:rFonts w:cs="Arial" w:hint="cs"/>
          <w:rtl/>
        </w:rPr>
        <w:t xml:space="preserve">ثم </w:t>
      </w:r>
      <w:r w:rsidR="00233637">
        <w:rPr>
          <w:rFonts w:cs="Arial" w:hint="cs"/>
          <w:rtl/>
        </w:rPr>
        <w:t xml:space="preserve">هناك في المقام سنن ذكرها بعضها سيدنا الأعظم (رض) وترك أغلبها حكيم الفقهاء (رض)، ومنه </w:t>
      </w:r>
      <w:proofErr w:type="spellStart"/>
      <w:r w:rsidR="00233637">
        <w:rPr>
          <w:rFonts w:cs="Arial" w:hint="cs"/>
          <w:rtl/>
        </w:rPr>
        <w:t>التلثم</w:t>
      </w:r>
      <w:proofErr w:type="spellEnd"/>
      <w:r w:rsidR="00233637">
        <w:rPr>
          <w:rFonts w:cs="Arial" w:hint="cs"/>
          <w:rtl/>
        </w:rPr>
        <w:t xml:space="preserve"> في الصلاة:</w:t>
      </w:r>
    </w:p>
    <w:p w14:paraId="78A7022E" w14:textId="6F245D1E" w:rsidR="00233637" w:rsidRDefault="00661AAF" w:rsidP="00E75D0F">
      <w:pPr>
        <w:rPr>
          <w:rFonts w:cs="Arial"/>
          <w:rtl/>
        </w:rPr>
      </w:pPr>
      <w:r>
        <w:rPr>
          <w:rFonts w:cs="Arial" w:hint="cs"/>
          <w:rtl/>
        </w:rPr>
        <w:t xml:space="preserve">وهو أن يلف المرء شيئاً على وجهه أثناء الصلاة وهو نحوان: الأول أن </w:t>
      </w:r>
      <w:r w:rsidR="00A56367">
        <w:rPr>
          <w:rFonts w:cs="Arial" w:hint="cs"/>
          <w:rtl/>
        </w:rPr>
        <w:t>يمنع</w:t>
      </w:r>
      <w:r w:rsidR="00B3528B">
        <w:rPr>
          <w:rFonts w:cs="Arial" w:hint="cs"/>
          <w:rtl/>
        </w:rPr>
        <w:t xml:space="preserve"> </w:t>
      </w:r>
      <w:r w:rsidR="00A56367">
        <w:rPr>
          <w:rFonts w:cs="Arial" w:hint="cs"/>
          <w:rtl/>
        </w:rPr>
        <w:t>من</w:t>
      </w:r>
      <w:r w:rsidR="00B3528B">
        <w:rPr>
          <w:rFonts w:cs="Arial" w:hint="cs"/>
          <w:rtl/>
        </w:rPr>
        <w:t xml:space="preserve"> </w:t>
      </w:r>
      <w:r w:rsidR="00A56367">
        <w:rPr>
          <w:rFonts w:cs="Arial" w:hint="cs"/>
          <w:rtl/>
        </w:rPr>
        <w:t>قراءة</w:t>
      </w:r>
      <w:r w:rsidR="00B3528B">
        <w:rPr>
          <w:rFonts w:cs="Arial" w:hint="cs"/>
          <w:rtl/>
        </w:rPr>
        <w:t xml:space="preserve"> الإنسان والثاني ألا </w:t>
      </w:r>
      <w:r w:rsidR="00A56367">
        <w:rPr>
          <w:rFonts w:cs="Arial" w:hint="cs"/>
          <w:rtl/>
        </w:rPr>
        <w:t>يمنع</w:t>
      </w:r>
      <w:r w:rsidR="00B3528B">
        <w:rPr>
          <w:rFonts w:cs="Arial" w:hint="cs"/>
          <w:rtl/>
        </w:rPr>
        <w:t>.</w:t>
      </w:r>
    </w:p>
    <w:p w14:paraId="0684D5C1" w14:textId="4AB39A74" w:rsidR="00A56367" w:rsidRDefault="00A56367" w:rsidP="00E75D0F">
      <w:pPr>
        <w:rPr>
          <w:rFonts w:cs="Arial"/>
          <w:rtl/>
        </w:rPr>
      </w:pPr>
      <w:r>
        <w:rPr>
          <w:rFonts w:cs="Arial" w:hint="cs"/>
          <w:rtl/>
        </w:rPr>
        <w:t>والأول مبطل للصلاة، والكلام في الثاني.</w:t>
      </w:r>
    </w:p>
    <w:p w14:paraId="2A29FE32" w14:textId="37302539" w:rsidR="0033104B" w:rsidRDefault="0033104B" w:rsidP="00E75D0F">
      <w:pPr>
        <w:rPr>
          <w:rFonts w:cs="Arial"/>
          <w:rtl/>
        </w:rPr>
      </w:pPr>
      <w:r>
        <w:rPr>
          <w:rFonts w:cs="Arial" w:hint="cs"/>
          <w:rtl/>
        </w:rPr>
        <w:t xml:space="preserve">استدل البعض على المنع من </w:t>
      </w:r>
      <w:r w:rsidR="00BC2CEC">
        <w:rPr>
          <w:rFonts w:cs="Arial" w:hint="cs"/>
          <w:rtl/>
        </w:rPr>
        <w:t>الرواية الأولى من الباب الخامس الثلاثين:</w:t>
      </w:r>
    </w:p>
    <w:p w14:paraId="1AB1E3F7" w14:textId="67988C90" w:rsidR="00BC2CEC" w:rsidRDefault="00BC2CEC" w:rsidP="00BC2CEC">
      <w:pPr>
        <w:rPr>
          <w:rFonts w:cs="Arial"/>
          <w:b/>
          <w:bCs/>
          <w:rtl/>
        </w:rPr>
      </w:pPr>
      <w:r w:rsidRPr="00BC2CEC">
        <w:rPr>
          <w:rFonts w:cs="Arial"/>
          <w:rtl/>
        </w:rPr>
        <w:t>محمد بن يعقوب، عن محمد بن إسماعيل، عن الفضل بن</w:t>
      </w:r>
      <w:r>
        <w:rPr>
          <w:rFonts w:cs="Arial" w:hint="cs"/>
          <w:rtl/>
        </w:rPr>
        <w:t xml:space="preserve"> </w:t>
      </w:r>
      <w:r w:rsidRPr="00BC2CEC">
        <w:rPr>
          <w:rFonts w:cs="Arial"/>
          <w:rtl/>
        </w:rPr>
        <w:t xml:space="preserve">شاذان، عن حماد بن عيسى، عن ربعي، </w:t>
      </w:r>
      <w:r w:rsidRPr="00BC2CEC">
        <w:rPr>
          <w:rFonts w:cs="Arial"/>
          <w:b/>
          <w:bCs/>
          <w:rtl/>
        </w:rPr>
        <w:t>عن محمد بن مسلم،</w:t>
      </w:r>
      <w:r w:rsidRPr="00BC2CEC">
        <w:rPr>
          <w:rFonts w:cs="Arial" w:hint="cs"/>
          <w:b/>
          <w:bCs/>
          <w:rtl/>
        </w:rPr>
        <w:t xml:space="preserve"> </w:t>
      </w:r>
      <w:r w:rsidRPr="00BC2CEC">
        <w:rPr>
          <w:rFonts w:cs="Arial"/>
          <w:b/>
          <w:bCs/>
          <w:rtl/>
        </w:rPr>
        <w:t>عن أبي جعفر</w:t>
      </w:r>
      <w:r w:rsidRPr="00BC2CEC">
        <w:rPr>
          <w:rFonts w:cs="Arial" w:hint="cs"/>
          <w:b/>
          <w:bCs/>
          <w:rtl/>
        </w:rPr>
        <w:t xml:space="preserve"> </w:t>
      </w:r>
      <w:r w:rsidRPr="00BC2CEC">
        <w:rPr>
          <w:rFonts w:cs="Arial"/>
          <w:b/>
          <w:bCs/>
          <w:rtl/>
        </w:rPr>
        <w:t>(عليه السلام) قال: قلت له: أيصلي الرجل وهو متلثم؟ فقال: أما على</w:t>
      </w:r>
      <w:r w:rsidRPr="00BC2CEC">
        <w:rPr>
          <w:rFonts w:cs="Arial" w:hint="cs"/>
          <w:b/>
          <w:bCs/>
          <w:rtl/>
        </w:rPr>
        <w:t xml:space="preserve"> </w:t>
      </w:r>
      <w:r w:rsidRPr="00BC2CEC">
        <w:rPr>
          <w:rFonts w:cs="Arial"/>
          <w:b/>
          <w:bCs/>
          <w:rtl/>
        </w:rPr>
        <w:t>الأرض فلا، وأما على الدابة فلا بأس</w:t>
      </w:r>
      <w:r w:rsidRPr="00BC2CEC">
        <w:rPr>
          <w:rFonts w:cs="Arial" w:hint="cs"/>
          <w:b/>
          <w:bCs/>
          <w:rtl/>
        </w:rPr>
        <w:t>.</w:t>
      </w:r>
    </w:p>
    <w:p w14:paraId="1C26D923" w14:textId="25DD0022" w:rsidR="00F1613A" w:rsidRPr="00F1613A" w:rsidRDefault="00F1613A" w:rsidP="00BC2CEC">
      <w:pPr>
        <w:rPr>
          <w:rFonts w:cs="Arial"/>
          <w:rtl/>
        </w:rPr>
      </w:pPr>
      <w:r>
        <w:rPr>
          <w:rFonts w:cs="Arial" w:hint="cs"/>
          <w:rtl/>
        </w:rPr>
        <w:lastRenderedPageBreak/>
        <w:t xml:space="preserve">نقل السيد الأعظم أن شيخنا المفيد (رض) اعتمد على هذه الرواية، ثم أفاد أنها معارضة بروايات أخرى، </w:t>
      </w:r>
      <w:proofErr w:type="spellStart"/>
      <w:r>
        <w:rPr>
          <w:rFonts w:cs="Arial" w:hint="cs"/>
          <w:rtl/>
        </w:rPr>
        <w:t>نقرؤها</w:t>
      </w:r>
      <w:proofErr w:type="spellEnd"/>
      <w:r>
        <w:rPr>
          <w:rFonts w:cs="Arial" w:hint="cs"/>
          <w:rtl/>
        </w:rPr>
        <w:t xml:space="preserve"> بخدمتكم في الجلسات القادمة والحمد لله رب العالمين.</w:t>
      </w:r>
    </w:p>
    <w:p w14:paraId="1C2CEB69" w14:textId="7B7E79CA" w:rsidR="00D113E2" w:rsidRDefault="00D113E2" w:rsidP="00E75D0F">
      <w:pPr>
        <w:rPr>
          <w:rFonts w:cs="Arial"/>
          <w:rtl/>
        </w:rPr>
      </w:pPr>
      <w:r>
        <w:rPr>
          <w:rFonts w:cs="Arial" w:hint="cs"/>
          <w:rtl/>
        </w:rPr>
        <w:t xml:space="preserve"> </w:t>
      </w:r>
    </w:p>
    <w:p w14:paraId="553F6833" w14:textId="77777777" w:rsidR="00584BB6" w:rsidRDefault="00584BB6" w:rsidP="00172D6B">
      <w:pPr>
        <w:rPr>
          <w:rtl/>
        </w:rPr>
      </w:pPr>
    </w:p>
    <w:p w14:paraId="2E99848A" w14:textId="77777777" w:rsidR="009151F7" w:rsidRDefault="009151F7" w:rsidP="00172D6B">
      <w:pPr>
        <w:rPr>
          <w:rtl/>
        </w:rPr>
      </w:pPr>
    </w:p>
    <w:p w14:paraId="17913362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D6B"/>
    <w:rsid w:val="000E5132"/>
    <w:rsid w:val="00172D6B"/>
    <w:rsid w:val="00233637"/>
    <w:rsid w:val="0023561F"/>
    <w:rsid w:val="002578DB"/>
    <w:rsid w:val="002C60FC"/>
    <w:rsid w:val="00306F07"/>
    <w:rsid w:val="0033104B"/>
    <w:rsid w:val="00333143"/>
    <w:rsid w:val="003C0635"/>
    <w:rsid w:val="005103D8"/>
    <w:rsid w:val="00563066"/>
    <w:rsid w:val="00584BB6"/>
    <w:rsid w:val="005C3A7D"/>
    <w:rsid w:val="005F72A1"/>
    <w:rsid w:val="00661AAF"/>
    <w:rsid w:val="0073750B"/>
    <w:rsid w:val="007E0025"/>
    <w:rsid w:val="00811EC9"/>
    <w:rsid w:val="00892216"/>
    <w:rsid w:val="008B74A4"/>
    <w:rsid w:val="009151F7"/>
    <w:rsid w:val="00A56367"/>
    <w:rsid w:val="00AE603B"/>
    <w:rsid w:val="00B3528B"/>
    <w:rsid w:val="00BC2CEC"/>
    <w:rsid w:val="00D113E2"/>
    <w:rsid w:val="00E56B3A"/>
    <w:rsid w:val="00E75D0F"/>
    <w:rsid w:val="00ED0B5B"/>
    <w:rsid w:val="00F1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63BB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D6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72D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72D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72D6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72D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72D6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72D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72D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72D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72D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172D6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72D6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72D6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72D6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72D6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72D6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72D6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72D6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72D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72D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72D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72D6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72D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72D6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72D6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72D6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72D6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72D6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72D6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172D6B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D6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72D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72D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72D6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72D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72D6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72D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72D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72D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72D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172D6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72D6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72D6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72D6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72D6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72D6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72D6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72D6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72D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72D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72D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72D6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72D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72D6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72D6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72D6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72D6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72D6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72D6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172D6B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8</cp:revision>
  <dcterms:created xsi:type="dcterms:W3CDTF">2025-02-10T16:01:00Z</dcterms:created>
  <dcterms:modified xsi:type="dcterms:W3CDTF">2025-02-11T04:20:00Z</dcterms:modified>
</cp:coreProperties>
</file>